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b w:val="0"/>
          <w:bCs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lang w:val="en-US" w:eastAsia="zh-CN"/>
        </w:rPr>
        <w:t>1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Style w:val="10"/>
          <w:rFonts w:hint="eastAsia" w:ascii="CESI小标宋-GB2312" w:hAnsi="CESI小标宋-GB2312" w:eastAsia="CESI小标宋-GB2312" w:cs="CESI小标宋-GB2312"/>
          <w:b w:val="0"/>
          <w:bCs w:val="0"/>
          <w:color w:val="000000"/>
          <w:kern w:val="2"/>
          <w:szCs w:val="44"/>
          <w:u w:val="none"/>
        </w:rPr>
      </w:pPr>
      <w:r>
        <w:rPr>
          <w:rStyle w:val="10"/>
          <w:rFonts w:hint="eastAsia" w:ascii="CESI小标宋-GB2312" w:hAnsi="CESI小标宋-GB2312" w:eastAsia="CESI小标宋-GB2312" w:cs="CESI小标宋-GB2312"/>
          <w:b w:val="0"/>
          <w:bCs w:val="0"/>
          <w:color w:val="000000"/>
          <w:kern w:val="2"/>
          <w:szCs w:val="44"/>
          <w:u w:val="none"/>
        </w:rPr>
        <w:t>采购</w:t>
      </w:r>
      <w:r>
        <w:rPr>
          <w:rStyle w:val="10"/>
          <w:rFonts w:hint="eastAsia" w:ascii="CESI小标宋-GB2312" w:hAnsi="CESI小标宋-GB2312" w:eastAsia="CESI小标宋-GB2312" w:cs="CESI小标宋-GB2312"/>
          <w:b w:val="0"/>
          <w:bCs w:val="0"/>
          <w:color w:val="000000"/>
          <w:kern w:val="2"/>
          <w:szCs w:val="44"/>
          <w:u w:val="none"/>
          <w:lang w:eastAsia="zh-CN"/>
        </w:rPr>
        <w:t>服务</w:t>
      </w:r>
      <w:r>
        <w:rPr>
          <w:rStyle w:val="10"/>
          <w:rFonts w:hint="eastAsia" w:ascii="CESI小标宋-GB2312" w:hAnsi="CESI小标宋-GB2312" w:eastAsia="CESI小标宋-GB2312" w:cs="CESI小标宋-GB2312"/>
          <w:b w:val="0"/>
          <w:bCs w:val="0"/>
          <w:color w:val="000000"/>
          <w:kern w:val="2"/>
          <w:szCs w:val="44"/>
          <w:u w:val="none"/>
        </w:rPr>
        <w:t>项目要求</w:t>
      </w:r>
    </w:p>
    <w:p>
      <w:pPr>
        <w:pageBreakBefore w:val="0"/>
        <w:wordWrap/>
        <w:overflowPunct/>
        <w:topLinePunct w:val="0"/>
        <w:bidi w:val="0"/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根据襄阳市襄工办〔202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号文件精神，做好襄阳市行政区划内（含中央和省属）各企事业单位、机关团体在职职工重大疾病医疗互助活动的服务，结合襄阳市实际情况和《襄阳市职工重大疾病医疗互助办法（试行）》（202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版）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提供有关服务，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由供应商提供业务系统，作为数据处理的平台，实现采购人对数据管理的要求。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医疗互助金审核管理服务内容及标准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收单交接、离场文档处理服务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2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收单交接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分为单证接收及返还服务两部分。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服务内容及标准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单证接收：在襄阳市内，提供每周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次免费至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市总工会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办公场所的上门收单服务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派专人至现场收集申请材料、需扫描的线下物理件等。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单证返还：在襄阳市内，提供每周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次免费至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市总工会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办公场所的上门返件服务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申请材料、需扫描的线下物理件完成电子归档后专人再送还市总工会。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sz w:val="32"/>
          <w:szCs w:val="32"/>
        </w:rPr>
        <w:t>单证接收与单证返还环节，双方均需要在收到案件材料后及时进行确认。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2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2.离场文档处理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双方商定，对于医疗互助金审核管理物理件，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采购方的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业务系统，将医疗互助金审核管理物理件扫描成电子影像文件，负责将该环节处理的有关影像和数据收发、传送给市总工会。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并将资料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按照市总工会档案管理的相关规则进行整理。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具体要求及标准如下：</w:t>
      </w:r>
    </w:p>
    <w:tbl>
      <w:tblPr>
        <w:tblStyle w:val="11"/>
        <w:tblW w:w="89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2850"/>
        <w:gridCol w:w="48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7" w:hRule="atLeast"/>
        </w:trPr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服务名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服务内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容</w:t>
            </w:r>
          </w:p>
        </w:tc>
        <w:tc>
          <w:tcPr>
            <w:tcW w:w="4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服务标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材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料整理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1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1)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按照市总工会的要求对物理材料进行排序、整理；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1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2)去除案件材料的其他金属件，用订书机在材料的左上角进行装订。</w:t>
            </w:r>
          </w:p>
        </w:tc>
        <w:tc>
          <w:tcPr>
            <w:tcW w:w="4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4"/>
                <w:szCs w:val="24"/>
              </w:rPr>
              <w:drawing>
                <wp:inline distT="0" distB="0" distL="114300" distR="114300">
                  <wp:extent cx="47625" cy="121285"/>
                  <wp:effectExtent l="0" t="0" r="9525" b="13335"/>
                  <wp:docPr id="1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确保医疗互助金审核管理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案件资料按照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市总工会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要</w:t>
            </w: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求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顺序整理整齐，无遗失；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4"/>
                <w:szCs w:val="24"/>
              </w:rPr>
              <w:drawing>
                <wp:inline distT="0" distB="0" distL="114300" distR="114300">
                  <wp:extent cx="47625" cy="121285"/>
                  <wp:effectExtent l="0" t="0" r="9525" b="13335"/>
                  <wp:docPr id="2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确保不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同案件包和不同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val="en-US" w:eastAsia="zh-CN"/>
              </w:rPr>
              <w:t>参加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的材料不能混装、误装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6" w:hRule="atLeast"/>
        </w:trPr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扫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描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1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1)按照市总工会要求的回传文件格式及分辨率，将物理材料扫描转换成电子影像文件；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1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2)根据市总工会要求，对影像进行分类和命名。</w:t>
            </w:r>
          </w:p>
        </w:tc>
        <w:tc>
          <w:tcPr>
            <w:tcW w:w="4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4"/>
                <w:szCs w:val="24"/>
              </w:rPr>
              <w:drawing>
                <wp:inline distT="0" distB="0" distL="114300" distR="114300">
                  <wp:extent cx="47625" cy="121285"/>
                  <wp:effectExtent l="0" t="0" r="9525" b="13335"/>
                  <wp:docPr id="3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彩色影像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JPG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格式，分辨率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0*150dpi；黑白影像为TIF格式，分辨率300*3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00dpi；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4"/>
                <w:szCs w:val="24"/>
              </w:rPr>
              <w:drawing>
                <wp:inline distT="0" distB="0" distL="114300" distR="114300">
                  <wp:extent cx="47625" cy="121285"/>
                  <wp:effectExtent l="0" t="0" r="9525" b="13335"/>
                  <wp:docPr id="4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影像效果清晰全面(实物件肉眼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可识别，影像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即要求清晰可辨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识。原始文档不清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晰者除外。)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4"/>
                <w:szCs w:val="24"/>
              </w:rPr>
              <w:drawing>
                <wp:inline distT="0" distB="0" distL="114300" distR="114300">
                  <wp:extent cx="47625" cy="121285"/>
                  <wp:effectExtent l="0" t="0" r="9525" b="13335"/>
                  <wp:docPr id="5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影像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无重叠、无翻转、无歪斜、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无遗漏、无重复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4"/>
                <w:szCs w:val="24"/>
              </w:rPr>
              <w:drawing>
                <wp:inline distT="0" distB="0" distL="114300" distR="114300">
                  <wp:extent cx="47625" cy="121285"/>
                  <wp:effectExtent l="0" t="0" r="9525" b="13335"/>
                  <wp:docPr id="6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影像顺序与实物文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档保持一致；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4"/>
                <w:szCs w:val="24"/>
              </w:rPr>
              <w:drawing>
                <wp:inline distT="0" distB="0" distL="114300" distR="114300">
                  <wp:extent cx="47625" cy="121285"/>
                  <wp:effectExtent l="0" t="0" r="9525" b="13335"/>
                  <wp:docPr id="7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影像分类及命名准确，无误。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归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档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1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需要按照市总工会的档案整理相关规则进行归档。</w:t>
            </w:r>
          </w:p>
        </w:tc>
        <w:tc>
          <w:tcPr>
            <w:tcW w:w="4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4"/>
                <w:szCs w:val="24"/>
              </w:rPr>
              <w:drawing>
                <wp:inline distT="0" distB="0" distL="114300" distR="114300">
                  <wp:extent cx="47625" cy="121285"/>
                  <wp:effectExtent l="0" t="0" r="9525" b="13335"/>
                  <wp:docPr id="8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物理材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料按照要求的顺序整理</w:t>
            </w:r>
            <w:r>
              <w:rPr>
                <w:rFonts w:hint="eastAsia" w:ascii="仿宋_GB2312" w:hAnsi="仿宋_GB2312" w:eastAsia="仿宋_GB2312" w:cs="仿宋_GB2312"/>
                <w:spacing w:val="-21"/>
                <w:sz w:val="24"/>
                <w:szCs w:val="24"/>
              </w:rPr>
              <w:t>整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齐，无遗失。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4"/>
                <w:szCs w:val="24"/>
              </w:rPr>
              <w:drawing>
                <wp:inline distT="0" distB="0" distL="114300" distR="114300">
                  <wp:extent cx="47625" cy="121285"/>
                  <wp:effectExtent l="0" t="0" r="9525" b="13335"/>
                  <wp:docPr id="9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按照保障范围、参加互助的年度分别归类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数据采集服务内容及标准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根据质检通过的影像进行申请人信息、事故信息、就诊信息、医疗账单信息的数据采集。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市总工会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提供的医疗互助金审核管理资料及客户信息进行严格保密。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审核理算服务内容及标准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审核人员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基于市总工会提供的申请互助待遇人员清单、给付标准、给付申请书、以及双方确认的审核规则，为市总工会提供理算和权限内案件的审核服务，并按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市总工会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要求的格式回传理算结果及结论信息。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具体要求及标准如下：</w:t>
      </w:r>
    </w:p>
    <w:tbl>
      <w:tblPr>
        <w:tblStyle w:val="11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2632"/>
        <w:gridCol w:w="47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36" w:type="pct"/>
            <w:tcBorders>
              <w:lef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服务名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</w:t>
            </w:r>
          </w:p>
        </w:tc>
        <w:tc>
          <w:tcPr>
            <w:tcW w:w="148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服务内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容</w:t>
            </w:r>
          </w:p>
        </w:tc>
        <w:tc>
          <w:tcPr>
            <w:tcW w:w="2677" w:type="pct"/>
            <w:tcBorders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服务标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23" w:hRule="atLeast"/>
        </w:trPr>
        <w:tc>
          <w:tcPr>
            <w:tcW w:w="836" w:type="pct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核</w:t>
            </w:r>
          </w:p>
        </w:tc>
        <w:tc>
          <w:tcPr>
            <w:tcW w:w="1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基于给付标准和双方约定的审核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规则，对案件进行审核。</w:t>
            </w:r>
          </w:p>
        </w:tc>
        <w:tc>
          <w:tcPr>
            <w:tcW w:w="2677" w:type="pct"/>
            <w:tcBorders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4"/>
                <w:szCs w:val="24"/>
              </w:rPr>
              <w:drawing>
                <wp:inline distT="0" distB="0" distL="114300" distR="114300">
                  <wp:extent cx="47625" cy="121285"/>
                  <wp:effectExtent l="0" t="0" r="9525" b="13335"/>
                  <wp:docPr id="10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严格遵守《襄阳市职工重大疾病医疗互助办法》（202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版）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4"/>
                <w:szCs w:val="24"/>
              </w:rPr>
              <w:drawing>
                <wp:inline distT="0" distB="0" distL="114300" distR="114300">
                  <wp:extent cx="47625" cy="121285"/>
                  <wp:effectExtent l="0" t="0" r="9525" b="13335"/>
                  <wp:docPr id="11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严格遵守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双方约定的审核规则。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836" w:type="pct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理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算</w:t>
            </w:r>
          </w:p>
        </w:tc>
        <w:tc>
          <w:tcPr>
            <w:tcW w:w="1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hanging="4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基于给付标准和双方约定的理算规则，计算赔付金额。</w:t>
            </w:r>
          </w:p>
        </w:tc>
        <w:tc>
          <w:tcPr>
            <w:tcW w:w="2677" w:type="pct"/>
            <w:tcBorders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4"/>
                <w:szCs w:val="24"/>
              </w:rPr>
              <w:drawing>
                <wp:inline distT="0" distB="0" distL="114300" distR="114300">
                  <wp:extent cx="47625" cy="121285"/>
                  <wp:effectExtent l="0" t="0" r="9525" b="13335"/>
                  <wp:docPr id="12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适用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《襄阳市职工重大疾病医疗互助办法（试行）》（2025版）第十一条规定的其中一种重大疾病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4"/>
                <w:szCs w:val="24"/>
              </w:rPr>
              <w:drawing>
                <wp:inline distT="0" distB="0" distL="114300" distR="114300">
                  <wp:extent cx="47625" cy="121285"/>
                  <wp:effectExtent l="0" t="0" r="9525" b="13335"/>
                  <wp:docPr id="13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适用给付标准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的相关约定。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87" w:hRule="atLeast"/>
        </w:trPr>
        <w:tc>
          <w:tcPr>
            <w:tcW w:w="836" w:type="pct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回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传信息</w:t>
            </w:r>
          </w:p>
        </w:tc>
        <w:tc>
          <w:tcPr>
            <w:tcW w:w="1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1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按照双方约定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的文件格式回传结案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信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息</w:t>
            </w:r>
          </w:p>
        </w:tc>
        <w:tc>
          <w:tcPr>
            <w:tcW w:w="2677" w:type="pct"/>
            <w:tcBorders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4"/>
                <w:szCs w:val="24"/>
              </w:rPr>
              <w:drawing>
                <wp:inline distT="0" distB="0" distL="114300" distR="114300">
                  <wp:extent cx="47625" cy="121285"/>
                  <wp:effectExtent l="0" t="0" r="9525" b="13335"/>
                  <wp:docPr id="14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具体接口文档字段及录入要求，由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双方另行约定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质量考核标准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(一)服务时效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2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.医疗互助金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管理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收单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时效：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1)线下物理件：平日时，自收到完整的医疗互助金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内确认是否受理，并将受理结果通知申请单位，同时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回传至市总工会。高峰期间，由双方根据具体的业务量另行协商时效；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2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2.医疗互助金审核管理服务时效：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常规案件审核时效为自受理之日起3个工作日内结案；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)如因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原因导致的回传失败或延误，不计入服务时效。如遇节假日，时效顺延；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)若有需要紧急处理的案件，须按照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市总工会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指定的顺序做优先处理；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)若平日案件量超过常规量时，可根据具体的业务量，由双方协商后，适当延长医疗互助金审核管理时效；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5)案件如需调查、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核等，服务时效扣除调查、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核时效。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2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3.档案返还时效：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市总工会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通知终审结案后5个工作日内，完成归档返还工作。特殊情况或者案件量超过常规量时，需双方协商方可延长归档时效。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三、人员要求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每周二和周四驻场服务，负责收单、初审及咨询答疑。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对拒付异议案件，协助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市总工会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做好解释说明工作。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专家团队对涉及的病种范围进行审核，确保审核结果的准确性。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黑体" w:hAnsi="黑体" w:eastAsia="黑体" w:cs="黑体"/>
          <w:color w:val="auto"/>
          <w:kern w:val="1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黑体" w:hAnsi="黑体" w:eastAsia="黑体" w:cs="黑体"/>
          <w:color w:val="auto"/>
          <w:kern w:val="1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黑体" w:hAnsi="黑体" w:eastAsia="黑体" w:cs="黑体"/>
          <w:color w:val="auto"/>
          <w:kern w:val="1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黑体" w:hAnsi="黑体" w:eastAsia="黑体" w:cs="黑体"/>
          <w:color w:val="auto"/>
          <w:kern w:val="1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文泉驿微米黑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文泉驿微米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MmNlMWY5MGUyNzA5Mzc5OTQ5OTdlNTMwYTk3ZmQifQ=="/>
  </w:docVars>
  <w:rsids>
    <w:rsidRoot w:val="1FA7951A"/>
    <w:rsid w:val="11ED0EBF"/>
    <w:rsid w:val="1FA7951A"/>
    <w:rsid w:val="2DDA7ACE"/>
    <w:rsid w:val="3CAE3EE0"/>
    <w:rsid w:val="3F9F7624"/>
    <w:rsid w:val="4EC54525"/>
    <w:rsid w:val="5FADE4D5"/>
    <w:rsid w:val="6A659507"/>
    <w:rsid w:val="6AF066A6"/>
    <w:rsid w:val="6F8717C3"/>
    <w:rsid w:val="6FFDB667"/>
    <w:rsid w:val="7BFDDE98"/>
    <w:rsid w:val="7FBB0262"/>
    <w:rsid w:val="B7E3229A"/>
    <w:rsid w:val="CDFF2D2E"/>
    <w:rsid w:val="D39B9C0F"/>
    <w:rsid w:val="D6F6111C"/>
    <w:rsid w:val="E3FCF510"/>
    <w:rsid w:val="EFD714DD"/>
    <w:rsid w:val="EFF3CEA2"/>
    <w:rsid w:val="F3FFBDA4"/>
    <w:rsid w:val="F7CFE054"/>
    <w:rsid w:val="FA56C827"/>
    <w:rsid w:val="FAEA26C2"/>
    <w:rsid w:val="FAF9F952"/>
    <w:rsid w:val="FDF9A4AE"/>
    <w:rsid w:val="FF6D3CA8"/>
    <w:rsid w:val="FF760B9D"/>
    <w:rsid w:val="FFBD3A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/>
      <w:jc w:val="center"/>
      <w:outlineLvl w:val="0"/>
    </w:pPr>
    <w:rPr>
      <w:rFonts w:ascii="Calibri" w:hAnsi="Calibri" w:eastAsia="楷体"/>
      <w:b/>
      <w:kern w:val="44"/>
      <w:sz w:val="44"/>
      <w:szCs w:val="20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left"/>
      <w:outlineLvl w:val="1"/>
    </w:pPr>
    <w:rPr>
      <w:rFonts w:ascii="Arial" w:hAnsi="Arial" w:eastAsia="楷体"/>
      <w:b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 3"/>
    <w:basedOn w:val="1"/>
    <w:qFormat/>
    <w:uiPriority w:val="0"/>
    <w:pPr>
      <w:ind w:firstLine="480" w:firstLineChars="200"/>
    </w:pPr>
    <w:rPr>
      <w:rFonts w:eastAsia="楷体_GB2312"/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99"/>
    <w:pPr>
      <w:adjustRightInd w:val="0"/>
      <w:spacing w:before="240" w:after="60"/>
      <w:jc w:val="center"/>
      <w:textAlignment w:val="baseline"/>
      <w:outlineLvl w:val="0"/>
    </w:pPr>
    <w:rPr>
      <w:rFonts w:ascii="Arial" w:hAnsi="Arial" w:eastAsia="楷体"/>
      <w:b/>
      <w:kern w:val="0"/>
      <w:sz w:val="44"/>
      <w:szCs w:val="20"/>
    </w:r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2022-10-19T03:41:00Z</dcterms:created>
  <dc:creator>王星懿</dc:creator>
  <cp:lastModifiedBy>thtf</cp:lastModifiedBy>
  <cp:lastPrinted>2026-02-11T01:40:00Z</cp:lastPrinted>
  <dcterms:modified xsi:type="dcterms:W3CDTF">2026-02-12T16:03:36Z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EAFBDAB58625404986179EBB370A579E_13</vt:lpwstr>
  </property>
</Properties>
</file>